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8CF" w:rsidRDefault="005548CF" w:rsidP="005548CF">
      <w:pPr>
        <w:jc w:val="center"/>
      </w:pPr>
    </w:p>
    <w:p w:rsidR="005548CF" w:rsidRDefault="005548CF" w:rsidP="005548CF">
      <w:pPr>
        <w:jc w:val="center"/>
      </w:pPr>
    </w:p>
    <w:p w:rsidR="005548CF" w:rsidRDefault="005548CF" w:rsidP="005548CF">
      <w:pPr>
        <w:jc w:val="center"/>
      </w:pPr>
    </w:p>
    <w:p w:rsidR="005548CF" w:rsidRDefault="005548CF" w:rsidP="005548CF">
      <w:pPr>
        <w:jc w:val="center"/>
      </w:pPr>
    </w:p>
    <w:p w:rsidR="005548CF" w:rsidRDefault="005548CF" w:rsidP="005548CF">
      <w:pPr>
        <w:jc w:val="center"/>
      </w:pPr>
    </w:p>
    <w:p w:rsidR="005548CF" w:rsidRDefault="005548CF" w:rsidP="005548CF">
      <w:pPr>
        <w:jc w:val="center"/>
      </w:pPr>
    </w:p>
    <w:p w:rsidR="00885698" w:rsidRDefault="005548CF" w:rsidP="005548CF">
      <w:pPr>
        <w:jc w:val="center"/>
      </w:pPr>
      <w:r>
        <w:t>Healthcare System of Saudi Arabia</w:t>
      </w:r>
    </w:p>
    <w:p w:rsidR="005548CF" w:rsidRDefault="005548CF">
      <w:pPr>
        <w:spacing w:line="276" w:lineRule="auto"/>
      </w:pPr>
      <w:bookmarkStart w:id="0" w:name="_GoBack"/>
      <w:bookmarkEnd w:id="0"/>
      <w:r>
        <w:br w:type="page"/>
      </w:r>
    </w:p>
    <w:p w:rsidR="005548CF" w:rsidRDefault="005548CF" w:rsidP="00730218">
      <w:pPr>
        <w:spacing w:before="100" w:beforeAutospacing="1" w:after="100" w:afterAutospacing="1"/>
        <w:jc w:val="center"/>
      </w:pPr>
      <w:r>
        <w:lastRenderedPageBreak/>
        <w:t>Healthcare System of Saudi Arabia</w:t>
      </w:r>
    </w:p>
    <w:p w:rsidR="005548CF" w:rsidRDefault="005548CF" w:rsidP="00730218">
      <w:pPr>
        <w:spacing w:before="100" w:beforeAutospacing="1" w:after="100" w:afterAutospacing="1"/>
      </w:pPr>
      <w:r>
        <w:t>Introduction</w:t>
      </w:r>
    </w:p>
    <w:p w:rsidR="005548CF" w:rsidRDefault="005548CF" w:rsidP="00730218">
      <w:pPr>
        <w:spacing w:before="100" w:beforeAutospacing="1" w:after="100" w:afterAutospacing="1"/>
        <w:ind w:firstLine="720"/>
      </w:pPr>
      <w:r>
        <w:t>Saudi municipalities have ventured into arrangements with the private sector to bolster their service delivery. Public-Private Partnerships (PPP) are essential in providing approaches that enhance public service efficiency. Nonetheless, the contemporary practices in municipal services are limited to outsourcing with a little attempt on PPP. Both for-profit and nonprofit hospitals have fundamental similarities in Saudi Arabia. They serve patients, work in strictly regulated frameworks for clinical services, and offer employment of physicians. However, for-profit hospitals generate returns for investors. The paper provides a meticulous comparison and contrast of the legal structure and governance of a profit and not-for-profit hospital in Saudi Arabia. Also, it examines the benefits and disadvantages of public-private partnerships.</w:t>
      </w:r>
    </w:p>
    <w:p w:rsidR="005548CF" w:rsidRDefault="005548CF" w:rsidP="00730218">
      <w:pPr>
        <w:spacing w:before="100" w:beforeAutospacing="1" w:after="100" w:afterAutospacing="1"/>
      </w:pPr>
      <w:r>
        <w:t>Entity and Rules to be followed</w:t>
      </w:r>
    </w:p>
    <w:p w:rsidR="005548CF" w:rsidRDefault="005548CF" w:rsidP="00730218">
      <w:pPr>
        <w:spacing w:before="100" w:beforeAutospacing="1" w:after="100" w:afterAutospacing="1"/>
        <w:ind w:firstLine="720"/>
      </w:pPr>
      <w:r>
        <w:t>Not-for-profit hospitals have different legal rules they must conform to in administering their duties. One rule is that they have to function principally for the good of the public. They are not mandated to pay taxes and are not required to distribute profits to a person. On the contrary, for-profit hospitals in Saudi Arabia have to pay property along with income taxes</w:t>
      </w:r>
      <w:r w:rsidRPr="0022467F">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Alkhamis</w:t>
      </w:r>
      <w:proofErr w:type="spellEnd"/>
      <w:r>
        <w:rPr>
          <w:rFonts w:eastAsia="Times New Roman" w:cs="Times New Roman"/>
          <w:szCs w:val="24"/>
        </w:rPr>
        <w:t>, 2017)</w:t>
      </w:r>
      <w:r>
        <w:t>. They also have to be answerable to stakeholders whose interests may be different from those of the local communities. The chief objective of both for-profit and nonprofit hospitals is to provide medical health that is of high quality to Saudis.</w:t>
      </w:r>
    </w:p>
    <w:p w:rsidR="005548CF" w:rsidRDefault="005548CF" w:rsidP="00730218">
      <w:pPr>
        <w:spacing w:before="100" w:beforeAutospacing="1" w:after="100" w:afterAutospacing="1"/>
        <w:ind w:firstLine="720"/>
      </w:pPr>
      <w:r>
        <w:t xml:space="preserve">For-profit and nonprofit hospitals in Saudi Arabia are engrossed in providing better medical health care to patients. </w:t>
      </w:r>
      <w:r w:rsidRPr="0066159B">
        <w:rPr>
          <w:highlight w:val="yellow"/>
        </w:rPr>
        <w:t xml:space="preserve">The Saudi Ministry of Health has invested astronomical amounts </w:t>
      </w:r>
      <w:r w:rsidRPr="0066159B">
        <w:rPr>
          <w:highlight w:val="yellow"/>
        </w:rPr>
        <w:lastRenderedPageBreak/>
        <w:t>of funds and efforts aimed at promoting health with a primary focus on non-communicable diseases. The availability of health facilities that are accessible to Saudis has been enhanced. The Saudi Ministry of Health has improved health infrastructure by ensuring that hospitals are well stocked and have adept clinicians</w:t>
      </w:r>
      <w:r w:rsidRPr="0066159B">
        <w:rPr>
          <w:rFonts w:eastAsia="Times New Roman" w:cs="Times New Roman"/>
          <w:szCs w:val="24"/>
          <w:highlight w:val="yellow"/>
        </w:rPr>
        <w:t xml:space="preserve"> (Mousa, &amp; </w:t>
      </w:r>
      <w:proofErr w:type="spellStart"/>
      <w:r w:rsidRPr="0066159B">
        <w:rPr>
          <w:rFonts w:eastAsia="Times New Roman" w:cs="Times New Roman"/>
          <w:szCs w:val="24"/>
          <w:highlight w:val="yellow"/>
        </w:rPr>
        <w:t>Aldehayyat</w:t>
      </w:r>
      <w:proofErr w:type="spellEnd"/>
      <w:r w:rsidRPr="0066159B">
        <w:rPr>
          <w:rFonts w:eastAsia="Times New Roman" w:cs="Times New Roman"/>
          <w:szCs w:val="24"/>
          <w:highlight w:val="yellow"/>
        </w:rPr>
        <w:t>, 2018)</w:t>
      </w:r>
      <w:r w:rsidRPr="0066159B">
        <w:rPr>
          <w:highlight w:val="yellow"/>
        </w:rPr>
        <w:t xml:space="preserve">. Besides, the health facilities are numerous and stationed near Saudis. The ministry of health has improved the building of more new hospitals to help provide medical services to citizens of Saudi Arabia. Some of the for-profit hospitals in Saudi Arabia include </w:t>
      </w:r>
      <w:proofErr w:type="spellStart"/>
      <w:r w:rsidRPr="0066159B">
        <w:rPr>
          <w:highlight w:val="yellow"/>
        </w:rPr>
        <w:t>Aldara</w:t>
      </w:r>
      <w:proofErr w:type="spellEnd"/>
      <w:r w:rsidRPr="0066159B">
        <w:rPr>
          <w:highlight w:val="yellow"/>
        </w:rPr>
        <w:t xml:space="preserve"> Hospital and Medical Center based in Riyadh, Soliman Fakeeh in Jeddah, and Saudi German Hospital in Jeddah. Abdul Latif Jameel Hospital for Medical Rehabilitation is one of the nonprofit hospitals in Saudi Arabia.</w:t>
      </w:r>
    </w:p>
    <w:p w:rsidR="005548CF" w:rsidRDefault="005548CF" w:rsidP="00730218">
      <w:pPr>
        <w:spacing w:after="0"/>
        <w:ind w:firstLine="720"/>
      </w:pPr>
      <w:r>
        <w:t xml:space="preserve">For-profit and nonprofit hospitals in Saudi Arabia have distinct primary differences. Foremost, </w:t>
      </w:r>
      <w:proofErr w:type="spellStart"/>
      <w:r>
        <w:t>Aldara</w:t>
      </w:r>
      <w:proofErr w:type="spellEnd"/>
      <w:r>
        <w:t xml:space="preserve"> Hospital and Medical Center, a for-profit hospital, is concerned with cost-efficiency as compared to a not-for-profit hospital. Being that for-profit hospitals have enormous financial hurdles they are required to clear such as sales taxes as well as property taxes, they have to be cost-efficient. On the other hand, Abdul Latif Jameel Hospital for Medical Rehabilitation, a not-for-profit hospital, does not have taxation issues as its counterparts – for-profit hospitals</w:t>
      </w:r>
      <w:r w:rsidRPr="00A02BA4">
        <w:rPr>
          <w:rFonts w:eastAsia="Times New Roman" w:cs="Times New Roman"/>
          <w:szCs w:val="24"/>
        </w:rPr>
        <w:t xml:space="preserve"> </w:t>
      </w:r>
      <w:r>
        <w:rPr>
          <w:rFonts w:eastAsia="Times New Roman" w:cs="Times New Roman"/>
          <w:szCs w:val="24"/>
        </w:rPr>
        <w:t>(</w:t>
      </w:r>
      <w:r w:rsidRPr="0090579B">
        <w:rPr>
          <w:rFonts w:eastAsia="Times New Roman" w:cs="Times New Roman"/>
          <w:szCs w:val="24"/>
        </w:rPr>
        <w:t>A</w:t>
      </w:r>
      <w:r>
        <w:rPr>
          <w:rFonts w:eastAsia="Times New Roman" w:cs="Times New Roman"/>
          <w:szCs w:val="24"/>
        </w:rPr>
        <w:t>lharbi et al., 2019)</w:t>
      </w:r>
      <w:r>
        <w:t xml:space="preserve">. Secondly, both hospitals have differences in financial pressure. For-profit hospitals, accountability for economic performance is highly revered as it is in nonprofit hospitals. For-profit hospitals have put concerted efforts to ensure that their institutions record high profits; therefore, the finance team has to attain the performance goals set. The revenue recycles teams use cash blitzes to boot revenue during slips in financial performance. The method helps in increasing the amount of revenue collection. Contrarily, not-for-profit hospitals in Saudi Arabia are less concerned with the generation of profits as their core function is to offer services of high quality to their patients. Saudi German Hospital in Jeddah, a </w:t>
      </w:r>
      <w:r>
        <w:lastRenderedPageBreak/>
        <w:t xml:space="preserve">for-profit hospital, has an upper competitive edge as compared to a not-for-profit hospital. </w:t>
      </w:r>
      <w:r w:rsidRPr="0066159B">
        <w:rPr>
          <w:highlight w:val="yellow"/>
        </w:rPr>
        <w:t>With the healthcare industry shifting from volume to value, there are numerous lessons that nonprofits can draw from for-profit hospitals. For instance, for-profits have a bargaining advantage over nonprofits when healthcare providers negotiate managed care contracts. This is because for-profits look for leverage while nonprofits look for partnerships in managed care contracts.</w:t>
      </w:r>
      <w:r>
        <w:t xml:space="preserve"> However, both have a similar objective in that they are mandated to offer charity care to patients.</w:t>
      </w:r>
    </w:p>
    <w:p w:rsidR="005548CF" w:rsidRDefault="005548CF" w:rsidP="00730218">
      <w:pPr>
        <w:spacing w:before="100" w:beforeAutospacing="1" w:after="100" w:afterAutospacing="1"/>
        <w:ind w:firstLine="720"/>
      </w:pPr>
      <w:r>
        <w:t>Public and Public Partnerships in Saudi Arabia have various benefits. Firstly, they make sure that there is high quality as well as the well-timed provision of public services such as Wrap Around Addition and Turnkey Operation</w:t>
      </w:r>
      <w:r w:rsidRPr="00296556">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Biygautane</w:t>
      </w:r>
      <w:proofErr w:type="spellEnd"/>
      <w:r>
        <w:rPr>
          <w:rFonts w:eastAsia="Times New Roman" w:cs="Times New Roman"/>
          <w:szCs w:val="24"/>
        </w:rPr>
        <w:t xml:space="preserve">, </w:t>
      </w:r>
      <w:proofErr w:type="spellStart"/>
      <w:r w:rsidRPr="0090579B">
        <w:rPr>
          <w:rFonts w:eastAsia="Times New Roman" w:cs="Times New Roman"/>
          <w:szCs w:val="24"/>
        </w:rPr>
        <w:t>Neesha</w:t>
      </w:r>
      <w:r>
        <w:rPr>
          <w:rFonts w:eastAsia="Times New Roman" w:cs="Times New Roman"/>
          <w:szCs w:val="24"/>
        </w:rPr>
        <w:t>m</w:t>
      </w:r>
      <w:proofErr w:type="spellEnd"/>
      <w:r>
        <w:rPr>
          <w:rFonts w:eastAsia="Times New Roman" w:cs="Times New Roman"/>
          <w:szCs w:val="24"/>
        </w:rPr>
        <w:t>, &amp; Al-Yahya, 2019)</w:t>
      </w:r>
      <w:r>
        <w:t>. Also, PPP has the benefit of ensuring that there are necessary investments within the public sector alongside more effective management of public resources. Some types of PPP, such as Temporary-Privatization and Build-Transfer-Operate, have been influential in rendering services to the locals of Saudi Arabia.  Furthermore, a private entity is permitted with the ability to attain a long-term remuneration. PPP project risk allocation is efficient in reducing risk management expenditures</w:t>
      </w:r>
      <w:r w:rsidRPr="006C7D19">
        <w:rPr>
          <w:rFonts w:eastAsia="Times New Roman" w:cs="Times New Roman"/>
          <w:szCs w:val="24"/>
        </w:rPr>
        <w:t xml:space="preserve"> </w:t>
      </w:r>
      <w:r>
        <w:rPr>
          <w:rFonts w:eastAsia="Times New Roman" w:cs="Times New Roman"/>
          <w:szCs w:val="24"/>
        </w:rPr>
        <w:t>(Alotaibi, 2016)</w:t>
      </w:r>
      <w:r>
        <w:t>. Conversely, PPPs have notable disadvantages. The type of infrastructure and services being delivered may be costly. Secondly, the service Procurement procedure of PPP is usually longer and expensive than traditional public procurement. Moreover, PPP project agreements are more complicated and long-term.</w:t>
      </w:r>
    </w:p>
    <w:p w:rsidR="005548CF" w:rsidRDefault="005548CF" w:rsidP="00730218">
      <w:pPr>
        <w:spacing w:before="100" w:beforeAutospacing="1" w:after="100" w:afterAutospacing="1"/>
      </w:pPr>
      <w:r>
        <w:t>Recommendation</w:t>
      </w:r>
    </w:p>
    <w:p w:rsidR="005548CF" w:rsidRDefault="005548CF" w:rsidP="00730218">
      <w:pPr>
        <w:spacing w:before="100" w:beforeAutospacing="1" w:after="100" w:afterAutospacing="1"/>
        <w:ind w:firstLine="720"/>
      </w:pPr>
      <w:r>
        <w:t xml:space="preserve">I consider for-profit hospitals to be more effective in serving the needs of the community due to myriad reasons. The hospitals are adequately equipped with better equipment; hence they offer better surgical services as compared to not-for-profit hospitals. Besides, for-profit hospitals </w:t>
      </w:r>
      <w:r>
        <w:lastRenderedPageBreak/>
        <w:t>collect colossal amounts of money, which can be used in purchasing diagnostic equipment necessary within the field of healthcare. Not-for-profit hospitals lack better equipment for use in providing health service to patients. Therefore, I recommend that for-profit hospitals to ensure the pricing of their services are affordable to patients for them to access. In so doing, patients will be able to acquire better medical health care – diagnosis and medication.</w:t>
      </w:r>
    </w:p>
    <w:p w:rsidR="005548CF" w:rsidRDefault="005548CF" w:rsidP="00730218">
      <w:pPr>
        <w:spacing w:before="100" w:beforeAutospacing="1" w:after="100" w:afterAutospacing="1"/>
        <w:ind w:firstLine="720"/>
      </w:pPr>
      <w:r>
        <w:t>In conclusion, for-profit and nonprofit hospitals in Saudi Arabia play crucial roles in offering medical services to Saudis. The government, through the Ministry of Health, has channeled funds to revamp the healthcare standards of the country. Hence for-profit and not-for-profit hospitals have become more engrossed in providing better healthcare services to Saudis through proper diagnosis and screening. Even though both for-profit and nonprofit hospitals have some differences in the way they operate, they are motivated to offering better health services to Saudis. Private and Public Partnerships are focused on ensuring that offering services to the public within Saudi Arabia is championed.</w:t>
      </w:r>
    </w:p>
    <w:p w:rsidR="005548CF" w:rsidRDefault="005548CF" w:rsidP="005548CF">
      <w:pPr>
        <w:ind w:firstLine="720"/>
        <w:jc w:val="center"/>
      </w:pPr>
    </w:p>
    <w:p w:rsidR="005548CF" w:rsidRDefault="005548CF" w:rsidP="005548CF">
      <w:pPr>
        <w:ind w:firstLine="720"/>
        <w:jc w:val="center"/>
      </w:pPr>
    </w:p>
    <w:p w:rsidR="005548CF" w:rsidRDefault="005548CF" w:rsidP="005548CF">
      <w:pPr>
        <w:ind w:firstLine="720"/>
        <w:jc w:val="center"/>
      </w:pPr>
    </w:p>
    <w:p w:rsidR="005548CF" w:rsidRDefault="005548CF" w:rsidP="005548CF">
      <w:pPr>
        <w:ind w:firstLine="720"/>
        <w:jc w:val="center"/>
      </w:pPr>
    </w:p>
    <w:p w:rsidR="005548CF" w:rsidRDefault="005548CF" w:rsidP="005548CF">
      <w:pPr>
        <w:ind w:firstLine="720"/>
        <w:jc w:val="center"/>
      </w:pPr>
    </w:p>
    <w:p w:rsidR="005548CF" w:rsidRDefault="005548CF" w:rsidP="005548CF"/>
    <w:p w:rsidR="00E53A4B" w:rsidRDefault="00E53A4B" w:rsidP="005548CF"/>
    <w:p w:rsidR="005548CF" w:rsidRDefault="005548CF" w:rsidP="005548CF">
      <w:pPr>
        <w:ind w:firstLine="720"/>
        <w:jc w:val="center"/>
      </w:pPr>
      <w:r>
        <w:lastRenderedPageBreak/>
        <w:t>References</w:t>
      </w:r>
    </w:p>
    <w:p w:rsidR="005548CF" w:rsidRPr="0090579B" w:rsidRDefault="005548CF" w:rsidP="005548CF">
      <w:pPr>
        <w:spacing w:after="0"/>
        <w:ind w:left="720" w:hanging="720"/>
        <w:rPr>
          <w:rFonts w:eastAsia="Times New Roman" w:cs="Times New Roman"/>
          <w:szCs w:val="24"/>
        </w:rPr>
      </w:pPr>
      <w:r w:rsidRPr="0090579B">
        <w:rPr>
          <w:rFonts w:eastAsia="Times New Roman" w:cs="Times New Roman"/>
          <w:szCs w:val="24"/>
        </w:rPr>
        <w:t xml:space="preserve">Alharbi, M. F., </w:t>
      </w:r>
      <w:proofErr w:type="spellStart"/>
      <w:r w:rsidRPr="0090579B">
        <w:rPr>
          <w:rFonts w:eastAsia="Times New Roman" w:cs="Times New Roman"/>
          <w:szCs w:val="24"/>
        </w:rPr>
        <w:t>Alahmadi</w:t>
      </w:r>
      <w:proofErr w:type="spellEnd"/>
      <w:r w:rsidRPr="0090579B">
        <w:rPr>
          <w:rFonts w:eastAsia="Times New Roman" w:cs="Times New Roman"/>
          <w:szCs w:val="24"/>
        </w:rPr>
        <w:t xml:space="preserve">, B. A., </w:t>
      </w:r>
      <w:proofErr w:type="spellStart"/>
      <w:r w:rsidRPr="0090579B">
        <w:rPr>
          <w:rFonts w:eastAsia="Times New Roman" w:cs="Times New Roman"/>
          <w:szCs w:val="24"/>
        </w:rPr>
        <w:t>Alali</w:t>
      </w:r>
      <w:proofErr w:type="spellEnd"/>
      <w:r w:rsidRPr="0090579B">
        <w:rPr>
          <w:rFonts w:eastAsia="Times New Roman" w:cs="Times New Roman"/>
          <w:szCs w:val="24"/>
        </w:rPr>
        <w:t xml:space="preserve">, M., &amp; </w:t>
      </w:r>
      <w:proofErr w:type="spellStart"/>
      <w:r w:rsidRPr="0090579B">
        <w:rPr>
          <w:rFonts w:eastAsia="Times New Roman" w:cs="Times New Roman"/>
          <w:szCs w:val="24"/>
        </w:rPr>
        <w:t>Alsaedi</w:t>
      </w:r>
      <w:proofErr w:type="spellEnd"/>
      <w:r w:rsidRPr="0090579B">
        <w:rPr>
          <w:rFonts w:eastAsia="Times New Roman" w:cs="Times New Roman"/>
          <w:szCs w:val="24"/>
        </w:rPr>
        <w:t xml:space="preserve">, S. (2019). Quality of nursing work life among hospital nurses in Saudi Arabia: A cross‐sectional study. </w:t>
      </w:r>
      <w:r w:rsidRPr="0090579B">
        <w:rPr>
          <w:rFonts w:eastAsia="Times New Roman" w:cs="Times New Roman"/>
          <w:i/>
          <w:iCs/>
          <w:szCs w:val="24"/>
        </w:rPr>
        <w:t>Journal of nursing management</w:t>
      </w:r>
      <w:r w:rsidRPr="0090579B">
        <w:rPr>
          <w:rFonts w:eastAsia="Times New Roman" w:cs="Times New Roman"/>
          <w:szCs w:val="24"/>
        </w:rPr>
        <w:t xml:space="preserve">, </w:t>
      </w:r>
      <w:r w:rsidRPr="0090579B">
        <w:rPr>
          <w:rFonts w:eastAsia="Times New Roman" w:cs="Times New Roman"/>
          <w:i/>
          <w:iCs/>
          <w:szCs w:val="24"/>
        </w:rPr>
        <w:t>27</w:t>
      </w:r>
      <w:r w:rsidRPr="0090579B">
        <w:rPr>
          <w:rFonts w:eastAsia="Times New Roman" w:cs="Times New Roman"/>
          <w:szCs w:val="24"/>
        </w:rPr>
        <w:t>(8), 1722-1730.</w:t>
      </w:r>
    </w:p>
    <w:p w:rsidR="005548CF" w:rsidRPr="0090579B" w:rsidRDefault="005548CF" w:rsidP="005548CF">
      <w:pPr>
        <w:spacing w:after="0"/>
        <w:ind w:left="720" w:hanging="720"/>
        <w:rPr>
          <w:rFonts w:eastAsia="Times New Roman" w:cs="Times New Roman"/>
          <w:szCs w:val="24"/>
        </w:rPr>
      </w:pPr>
      <w:proofErr w:type="spellStart"/>
      <w:r w:rsidRPr="0090579B">
        <w:rPr>
          <w:rFonts w:eastAsia="Times New Roman" w:cs="Times New Roman"/>
          <w:szCs w:val="24"/>
        </w:rPr>
        <w:t>Alkhamis</w:t>
      </w:r>
      <w:proofErr w:type="spellEnd"/>
      <w:r w:rsidRPr="0090579B">
        <w:rPr>
          <w:rFonts w:eastAsia="Times New Roman" w:cs="Times New Roman"/>
          <w:szCs w:val="24"/>
        </w:rPr>
        <w:t xml:space="preserve">, A. A. (2017). Critical analysis and review of the literature on healthcare privatization and its association with access to medical care in Saudi Arabia. </w:t>
      </w:r>
      <w:r w:rsidRPr="0090579B">
        <w:rPr>
          <w:rFonts w:eastAsia="Times New Roman" w:cs="Times New Roman"/>
          <w:i/>
          <w:iCs/>
          <w:szCs w:val="24"/>
        </w:rPr>
        <w:t>Journal of infection and public health</w:t>
      </w:r>
      <w:r w:rsidRPr="0090579B">
        <w:rPr>
          <w:rFonts w:eastAsia="Times New Roman" w:cs="Times New Roman"/>
          <w:szCs w:val="24"/>
        </w:rPr>
        <w:t xml:space="preserve">, </w:t>
      </w:r>
      <w:r w:rsidRPr="0090579B">
        <w:rPr>
          <w:rFonts w:eastAsia="Times New Roman" w:cs="Times New Roman"/>
          <w:i/>
          <w:iCs/>
          <w:szCs w:val="24"/>
        </w:rPr>
        <w:t>10</w:t>
      </w:r>
      <w:r w:rsidRPr="0090579B">
        <w:rPr>
          <w:rFonts w:eastAsia="Times New Roman" w:cs="Times New Roman"/>
          <w:szCs w:val="24"/>
        </w:rPr>
        <w:t>(3), 258-268.</w:t>
      </w:r>
    </w:p>
    <w:p w:rsidR="005548CF" w:rsidRPr="0090579B" w:rsidRDefault="005548CF" w:rsidP="005548CF">
      <w:pPr>
        <w:spacing w:after="0"/>
        <w:ind w:left="720" w:hanging="720"/>
        <w:rPr>
          <w:rFonts w:eastAsia="Times New Roman" w:cs="Times New Roman"/>
          <w:szCs w:val="24"/>
        </w:rPr>
      </w:pPr>
      <w:r w:rsidRPr="0090579B">
        <w:rPr>
          <w:rFonts w:eastAsia="Times New Roman" w:cs="Times New Roman"/>
          <w:szCs w:val="24"/>
        </w:rPr>
        <w:t xml:space="preserve">Alotaibi, S. S. (2016). </w:t>
      </w:r>
      <w:r w:rsidRPr="0090579B">
        <w:rPr>
          <w:rFonts w:eastAsia="Times New Roman" w:cs="Times New Roman"/>
          <w:i/>
          <w:iCs/>
          <w:szCs w:val="24"/>
        </w:rPr>
        <w:t>The international contractor's decision to invest: a strategic risk management decision model for public private partnership projects in Saudi Arabia</w:t>
      </w:r>
      <w:r w:rsidRPr="0090579B">
        <w:rPr>
          <w:rFonts w:eastAsia="Times New Roman" w:cs="Times New Roman"/>
          <w:szCs w:val="24"/>
        </w:rPr>
        <w:t xml:space="preserve"> (Doctoral dissertation, Heriot-Watt University).</w:t>
      </w:r>
    </w:p>
    <w:p w:rsidR="005548CF" w:rsidRPr="0090579B" w:rsidRDefault="005548CF" w:rsidP="005548CF">
      <w:pPr>
        <w:spacing w:after="0"/>
        <w:ind w:left="720" w:hanging="720"/>
        <w:rPr>
          <w:rFonts w:eastAsia="Times New Roman" w:cs="Times New Roman"/>
          <w:szCs w:val="24"/>
        </w:rPr>
      </w:pPr>
      <w:proofErr w:type="spellStart"/>
      <w:r w:rsidRPr="0090579B">
        <w:rPr>
          <w:rFonts w:eastAsia="Times New Roman" w:cs="Times New Roman"/>
          <w:szCs w:val="24"/>
        </w:rPr>
        <w:t>Biygautane</w:t>
      </w:r>
      <w:proofErr w:type="spellEnd"/>
      <w:r w:rsidRPr="0090579B">
        <w:rPr>
          <w:rFonts w:eastAsia="Times New Roman" w:cs="Times New Roman"/>
          <w:szCs w:val="24"/>
        </w:rPr>
        <w:t xml:space="preserve">, M., </w:t>
      </w:r>
      <w:proofErr w:type="spellStart"/>
      <w:r w:rsidRPr="0090579B">
        <w:rPr>
          <w:rFonts w:eastAsia="Times New Roman" w:cs="Times New Roman"/>
          <w:szCs w:val="24"/>
        </w:rPr>
        <w:t>Neesham</w:t>
      </w:r>
      <w:proofErr w:type="spellEnd"/>
      <w:r w:rsidRPr="0090579B">
        <w:rPr>
          <w:rFonts w:eastAsia="Times New Roman" w:cs="Times New Roman"/>
          <w:szCs w:val="24"/>
        </w:rPr>
        <w:t xml:space="preserve">, C., &amp; Al-Yahya, K. O. (2019). Institutional entrepreneurship and infrastructure public-private partnership (PPP): Unpacking the role of social actors in implementing PPP projects. </w:t>
      </w:r>
      <w:r w:rsidRPr="0090579B">
        <w:rPr>
          <w:rFonts w:eastAsia="Times New Roman" w:cs="Times New Roman"/>
          <w:i/>
          <w:iCs/>
          <w:szCs w:val="24"/>
        </w:rPr>
        <w:t>International Journal of Project Management</w:t>
      </w:r>
      <w:r w:rsidRPr="0090579B">
        <w:rPr>
          <w:rFonts w:eastAsia="Times New Roman" w:cs="Times New Roman"/>
          <w:szCs w:val="24"/>
        </w:rPr>
        <w:t xml:space="preserve">, </w:t>
      </w:r>
      <w:r w:rsidRPr="0090579B">
        <w:rPr>
          <w:rFonts w:eastAsia="Times New Roman" w:cs="Times New Roman"/>
          <w:i/>
          <w:iCs/>
          <w:szCs w:val="24"/>
        </w:rPr>
        <w:t>37</w:t>
      </w:r>
      <w:r w:rsidRPr="0090579B">
        <w:rPr>
          <w:rFonts w:eastAsia="Times New Roman" w:cs="Times New Roman"/>
          <w:szCs w:val="24"/>
        </w:rPr>
        <w:t>(1), 192-219.</w:t>
      </w:r>
    </w:p>
    <w:p w:rsidR="005548CF" w:rsidRPr="0090579B" w:rsidRDefault="005548CF" w:rsidP="005548CF">
      <w:pPr>
        <w:spacing w:after="0"/>
        <w:ind w:left="720" w:hanging="720"/>
        <w:rPr>
          <w:rFonts w:eastAsia="Times New Roman" w:cs="Times New Roman"/>
          <w:szCs w:val="24"/>
        </w:rPr>
      </w:pPr>
      <w:r w:rsidRPr="0090579B">
        <w:rPr>
          <w:rFonts w:eastAsia="Times New Roman" w:cs="Times New Roman"/>
          <w:szCs w:val="24"/>
        </w:rPr>
        <w:t xml:space="preserve">Mousa, W., &amp; </w:t>
      </w:r>
      <w:proofErr w:type="spellStart"/>
      <w:r w:rsidRPr="0090579B">
        <w:rPr>
          <w:rFonts w:eastAsia="Times New Roman" w:cs="Times New Roman"/>
          <w:szCs w:val="24"/>
        </w:rPr>
        <w:t>Aldehayyat</w:t>
      </w:r>
      <w:proofErr w:type="spellEnd"/>
      <w:r w:rsidRPr="0090579B">
        <w:rPr>
          <w:rFonts w:eastAsia="Times New Roman" w:cs="Times New Roman"/>
          <w:szCs w:val="24"/>
        </w:rPr>
        <w:t xml:space="preserve">, J. S. (2018). Regional efficiency of healthcare services in Saudi Arabia. </w:t>
      </w:r>
      <w:r w:rsidRPr="0090579B">
        <w:rPr>
          <w:rFonts w:eastAsia="Times New Roman" w:cs="Times New Roman"/>
          <w:i/>
          <w:iCs/>
          <w:szCs w:val="24"/>
        </w:rPr>
        <w:t>Middle East Development Journal</w:t>
      </w:r>
      <w:r w:rsidRPr="0090579B">
        <w:rPr>
          <w:rFonts w:eastAsia="Times New Roman" w:cs="Times New Roman"/>
          <w:szCs w:val="24"/>
        </w:rPr>
        <w:t xml:space="preserve">, </w:t>
      </w:r>
      <w:r w:rsidRPr="0090579B">
        <w:rPr>
          <w:rFonts w:eastAsia="Times New Roman" w:cs="Times New Roman"/>
          <w:i/>
          <w:iCs/>
          <w:szCs w:val="24"/>
        </w:rPr>
        <w:t>10</w:t>
      </w:r>
      <w:r w:rsidRPr="0090579B">
        <w:rPr>
          <w:rFonts w:eastAsia="Times New Roman" w:cs="Times New Roman"/>
          <w:szCs w:val="24"/>
        </w:rPr>
        <w:t>(1), 152-174.</w:t>
      </w:r>
    </w:p>
    <w:p w:rsidR="005548CF" w:rsidRPr="00356147" w:rsidRDefault="005548CF" w:rsidP="005548CF"/>
    <w:p w:rsidR="005548CF" w:rsidRDefault="005548CF" w:rsidP="005548CF"/>
    <w:p w:rsidR="005548CF" w:rsidRDefault="005548CF" w:rsidP="005548CF"/>
    <w:p w:rsidR="005548CF" w:rsidRDefault="005548CF" w:rsidP="005548CF"/>
    <w:p w:rsidR="005548CF" w:rsidRPr="001F3447" w:rsidRDefault="005548CF" w:rsidP="005548CF"/>
    <w:p w:rsidR="005548CF" w:rsidRDefault="005548CF" w:rsidP="005548CF">
      <w:pPr>
        <w:jc w:val="center"/>
      </w:pPr>
    </w:p>
    <w:p w:rsidR="005548CF" w:rsidRPr="005548CF" w:rsidRDefault="005548CF" w:rsidP="005548CF"/>
    <w:sectPr w:rsidR="005548CF" w:rsidRPr="005548CF" w:rsidSect="005548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5357" w:rsidRDefault="00145357" w:rsidP="008C093D">
      <w:pPr>
        <w:spacing w:after="0" w:line="240" w:lineRule="auto"/>
      </w:pPr>
      <w:r>
        <w:separator/>
      </w:r>
    </w:p>
  </w:endnote>
  <w:endnote w:type="continuationSeparator" w:id="0">
    <w:p w:rsidR="00145357" w:rsidRDefault="00145357" w:rsidP="008C0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5357" w:rsidRDefault="00145357" w:rsidP="008C093D">
      <w:pPr>
        <w:spacing w:after="0" w:line="240" w:lineRule="auto"/>
      </w:pPr>
      <w:r>
        <w:separator/>
      </w:r>
    </w:p>
  </w:footnote>
  <w:footnote w:type="continuationSeparator" w:id="0">
    <w:p w:rsidR="00145357" w:rsidRDefault="00145357" w:rsidP="008C0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8628766"/>
      <w:docPartObj>
        <w:docPartGallery w:val="Page Numbers (Top of Page)"/>
        <w:docPartUnique/>
      </w:docPartObj>
    </w:sdtPr>
    <w:sdtEndPr/>
    <w:sdtContent>
      <w:p w:rsidR="005548CF" w:rsidRDefault="005548CF">
        <w:pPr>
          <w:pStyle w:val="Header"/>
          <w:jc w:val="right"/>
        </w:pPr>
        <w:r>
          <w:t>HEALTHCARE SYSTEM OF SAUDI ARABIA</w:t>
        </w:r>
        <w:r>
          <w:tab/>
        </w:r>
        <w:r w:rsidR="00A12493">
          <w:fldChar w:fldCharType="begin"/>
        </w:r>
        <w:r w:rsidR="00A12493">
          <w:instrText xml:space="preserve"> PAGE   \* MERGEFORMAT </w:instrText>
        </w:r>
        <w:r w:rsidR="00A12493">
          <w:fldChar w:fldCharType="separate"/>
        </w:r>
        <w:r w:rsidR="00730218">
          <w:rPr>
            <w:noProof/>
          </w:rPr>
          <w:t>2</w:t>
        </w:r>
        <w:r w:rsidR="00A12493">
          <w:rPr>
            <w:noProof/>
          </w:rPr>
          <w:fldChar w:fldCharType="end"/>
        </w:r>
      </w:p>
    </w:sdtContent>
  </w:sdt>
  <w:p w:rsidR="005548CF" w:rsidRDefault="005548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8CF" w:rsidRDefault="005548CF">
    <w:pPr>
      <w:pStyle w:val="Header"/>
    </w:pPr>
    <w:r>
      <w:t>Running Head: HEALTHCARE SYSTEM OF SAUDI ARABIA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6D1"/>
    <w:rsid w:val="0002692A"/>
    <w:rsid w:val="000B0579"/>
    <w:rsid w:val="00145357"/>
    <w:rsid w:val="001F3447"/>
    <w:rsid w:val="0022467F"/>
    <w:rsid w:val="00237652"/>
    <w:rsid w:val="00295367"/>
    <w:rsid w:val="00296556"/>
    <w:rsid w:val="00402140"/>
    <w:rsid w:val="00426A26"/>
    <w:rsid w:val="00482743"/>
    <w:rsid w:val="00513BBC"/>
    <w:rsid w:val="00517F45"/>
    <w:rsid w:val="005548CF"/>
    <w:rsid w:val="005A7E04"/>
    <w:rsid w:val="005B7D40"/>
    <w:rsid w:val="00632277"/>
    <w:rsid w:val="0066159B"/>
    <w:rsid w:val="006633A2"/>
    <w:rsid w:val="006703AE"/>
    <w:rsid w:val="006870AF"/>
    <w:rsid w:val="006C7D19"/>
    <w:rsid w:val="00730218"/>
    <w:rsid w:val="007C68D2"/>
    <w:rsid w:val="00845E59"/>
    <w:rsid w:val="00885698"/>
    <w:rsid w:val="008C093D"/>
    <w:rsid w:val="00946D2D"/>
    <w:rsid w:val="009C5F0B"/>
    <w:rsid w:val="00A02BA4"/>
    <w:rsid w:val="00A12493"/>
    <w:rsid w:val="00A216D1"/>
    <w:rsid w:val="00A4527D"/>
    <w:rsid w:val="00A5336F"/>
    <w:rsid w:val="00A87770"/>
    <w:rsid w:val="00B51660"/>
    <w:rsid w:val="00BB0866"/>
    <w:rsid w:val="00CD5822"/>
    <w:rsid w:val="00D157DB"/>
    <w:rsid w:val="00D765CA"/>
    <w:rsid w:val="00DD0C13"/>
    <w:rsid w:val="00E53A4B"/>
    <w:rsid w:val="00E63DCB"/>
    <w:rsid w:val="00FB4B4E"/>
    <w:rsid w:val="00FD4A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B5C6A"/>
  <w15:docId w15:val="{FE231B4C-8551-40B6-98AC-3DDAE51CF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6D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9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93D"/>
    <w:rPr>
      <w:rFonts w:ascii="Times New Roman" w:hAnsi="Times New Roman"/>
      <w:sz w:val="24"/>
    </w:rPr>
  </w:style>
  <w:style w:type="paragraph" w:styleId="Footer">
    <w:name w:val="footer"/>
    <w:basedOn w:val="Normal"/>
    <w:link w:val="FooterChar"/>
    <w:uiPriority w:val="99"/>
    <w:semiHidden/>
    <w:unhideWhenUsed/>
    <w:rsid w:val="008C09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093D"/>
    <w:rPr>
      <w:rFonts w:ascii="Times New Roman" w:hAnsi="Times New Roman"/>
      <w:sz w:val="24"/>
    </w:rPr>
  </w:style>
  <w:style w:type="character" w:customStyle="1" w:styleId="fnt0">
    <w:name w:val="fnt0"/>
    <w:rsid w:val="00E53A4B"/>
    <w:rPr>
      <w:color w:val="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695053">
      <w:bodyDiv w:val="1"/>
      <w:marLeft w:val="0"/>
      <w:marRight w:val="0"/>
      <w:marTop w:val="0"/>
      <w:marBottom w:val="0"/>
      <w:divBdr>
        <w:top w:val="none" w:sz="0" w:space="0" w:color="auto"/>
        <w:left w:val="none" w:sz="0" w:space="0" w:color="auto"/>
        <w:bottom w:val="none" w:sz="0" w:space="0" w:color="auto"/>
        <w:right w:val="none" w:sz="0" w:space="0" w:color="auto"/>
      </w:divBdr>
      <w:divsChild>
        <w:div w:id="2015716950">
          <w:marLeft w:val="0"/>
          <w:marRight w:val="0"/>
          <w:marTop w:val="0"/>
          <w:marBottom w:val="0"/>
          <w:divBdr>
            <w:top w:val="none" w:sz="0" w:space="0" w:color="auto"/>
            <w:left w:val="none" w:sz="0" w:space="0" w:color="auto"/>
            <w:bottom w:val="none" w:sz="0" w:space="0" w:color="auto"/>
            <w:right w:val="none" w:sz="0" w:space="0" w:color="auto"/>
          </w:divBdr>
        </w:div>
      </w:divsChild>
    </w:div>
    <w:div w:id="1144276492">
      <w:bodyDiv w:val="1"/>
      <w:marLeft w:val="0"/>
      <w:marRight w:val="0"/>
      <w:marTop w:val="0"/>
      <w:marBottom w:val="0"/>
      <w:divBdr>
        <w:top w:val="none" w:sz="0" w:space="0" w:color="auto"/>
        <w:left w:val="none" w:sz="0" w:space="0" w:color="auto"/>
        <w:bottom w:val="none" w:sz="0" w:space="0" w:color="auto"/>
        <w:right w:val="none" w:sz="0" w:space="0" w:color="auto"/>
      </w:divBdr>
      <w:divsChild>
        <w:div w:id="426998371">
          <w:marLeft w:val="0"/>
          <w:marRight w:val="0"/>
          <w:marTop w:val="0"/>
          <w:marBottom w:val="0"/>
          <w:divBdr>
            <w:top w:val="none" w:sz="0" w:space="0" w:color="auto"/>
            <w:left w:val="none" w:sz="0" w:space="0" w:color="auto"/>
            <w:bottom w:val="none" w:sz="0" w:space="0" w:color="auto"/>
            <w:right w:val="none" w:sz="0" w:space="0" w:color="auto"/>
          </w:divBdr>
        </w:div>
      </w:divsChild>
    </w:div>
    <w:div w:id="1960186458">
      <w:bodyDiv w:val="1"/>
      <w:marLeft w:val="0"/>
      <w:marRight w:val="0"/>
      <w:marTop w:val="0"/>
      <w:marBottom w:val="0"/>
      <w:divBdr>
        <w:top w:val="none" w:sz="0" w:space="0" w:color="auto"/>
        <w:left w:val="none" w:sz="0" w:space="0" w:color="auto"/>
        <w:bottom w:val="none" w:sz="0" w:space="0" w:color="auto"/>
        <w:right w:val="none" w:sz="0" w:space="0" w:color="auto"/>
      </w:divBdr>
      <w:divsChild>
        <w:div w:id="1683315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Shujaa Khalid Almutairi</cp:lastModifiedBy>
  <cp:revision>5</cp:revision>
  <dcterms:created xsi:type="dcterms:W3CDTF">2020-02-08T14:07:00Z</dcterms:created>
  <dcterms:modified xsi:type="dcterms:W3CDTF">2020-02-08T14:14:00Z</dcterms:modified>
</cp:coreProperties>
</file>